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238ac3c764dac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ID=16063;  МАс-2022-v.1;  ств. 29.03.2022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Фаховий молодший бакалавр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 (за скороч. терміном підготовки)__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95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ID=16063;  МАс-2022-v.1;  ств. 29.03.2022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2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192" w:type="dxa"/>
            <w:vAlign w:val="center"/>
            <w:gridSpan w:val="12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8792" w:type="dxa"/>
            <w:vAlign w:val="center"/>
            <w:gridSpan w:val="25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механізмів і машин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Автомобільні двигуни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Аналіз конструкцій, робочі процеси та основи розрахунку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Деталі машин і ПТО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Діагностика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та маркетинг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Електронне та мікропроцесорне забезпечення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Електротехніка, електроніка та мікропроцесорна техніка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технологічних процесів підприємств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експлуатація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Технологічне проєктування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53,5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165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Відновлення деталей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системи обробки текстової, графічної та мультимедійної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технології виробництва та ремонту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триботехніки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експлуатаційних властивостей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обслуговування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ланцюгами постачання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1942" w:type="dxa"/>
            <w:vAlign w:val="center"/>
            <w:gridSpan w:val="28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</w:tr>
      <w:tr>
        <w:trPr/>
        <w:tc>
          <w:tcPr>
            <w:tcW w:w="12292" w:type="dxa"/>
            <w:vAlign w:val="center"/>
            <w:gridSpan w:val="29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120,0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3600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1408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752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138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518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2192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ID=16063;  МАс-2022-v.1;  ств. 29.03.2022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58,0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70960688c485f" /></Relationships>
</file>